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538E27C"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FF14C9">
        <w:rPr>
          <w:b/>
          <w:noProof/>
          <w:sz w:val="24"/>
          <w:lang w:eastAsia="ja-JP"/>
        </w:rPr>
        <w:t>1</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B63F05">
        <w:rPr>
          <w:b/>
          <w:i/>
          <w:noProof/>
          <w:sz w:val="28"/>
        </w:rPr>
        <w:t>xxxxxx</w:t>
      </w:r>
    </w:p>
    <w:p w14:paraId="7A081629" w14:textId="7B929400" w:rsidR="00C24B74" w:rsidRPr="00576C4D" w:rsidRDefault="003B0244" w:rsidP="009911FA">
      <w:pPr>
        <w:spacing w:before="120" w:after="120"/>
        <w:ind w:left="2277" w:hangingChars="945" w:hanging="2277"/>
        <w:rPr>
          <w:rFonts w:ascii="Arial" w:eastAsia="MS Mincho" w:hAnsi="Arial"/>
          <w:b/>
          <w:noProof/>
          <w:sz w:val="24"/>
          <w:lang w:val="en-GB"/>
        </w:rPr>
      </w:pPr>
      <w:r w:rsidRPr="00576C4D">
        <w:rPr>
          <w:rFonts w:ascii="Arial" w:eastAsia="MS Mincho" w:hAnsi="Arial"/>
          <w:b/>
          <w:noProof/>
          <w:sz w:val="24"/>
          <w:lang w:val="en-GB"/>
        </w:rPr>
        <w:t>Electronic</w:t>
      </w:r>
      <w:r w:rsidR="00131F0F" w:rsidRPr="00576C4D">
        <w:rPr>
          <w:rFonts w:ascii="Arial" w:eastAsia="MS Mincho" w:hAnsi="Arial"/>
          <w:b/>
          <w:noProof/>
          <w:sz w:val="24"/>
          <w:lang w:val="en-GB"/>
        </w:rPr>
        <w:t xml:space="preserve"> </w:t>
      </w:r>
      <w:r w:rsidRPr="00576C4D">
        <w:rPr>
          <w:rFonts w:ascii="Arial" w:eastAsia="MS Mincho" w:hAnsi="Arial"/>
          <w:b/>
          <w:noProof/>
          <w:sz w:val="24"/>
          <w:lang w:val="en-GB"/>
        </w:rPr>
        <w:t>Meeting</w:t>
      </w:r>
      <w:r w:rsidR="00646116" w:rsidRPr="00576C4D">
        <w:rPr>
          <w:rFonts w:ascii="Arial" w:eastAsia="MS Mincho" w:hAnsi="Arial"/>
          <w:b/>
          <w:noProof/>
          <w:sz w:val="24"/>
          <w:lang w:val="en-GB"/>
        </w:rPr>
        <w:t xml:space="preserve">, </w:t>
      </w:r>
      <w:r w:rsidR="003B245F" w:rsidRPr="003B245F">
        <w:rPr>
          <w:rFonts w:ascii="Arial" w:eastAsia="MS Mincho" w:hAnsi="Arial"/>
          <w:b/>
          <w:noProof/>
          <w:sz w:val="24"/>
          <w:lang w:val="en-GB"/>
        </w:rPr>
        <w:t>1</w:t>
      </w:r>
      <w:r w:rsidR="00FF14C9" w:rsidRPr="00FF14C9">
        <w:rPr>
          <w:rFonts w:ascii="Arial" w:eastAsia="MS Mincho" w:hAnsi="Arial"/>
          <w:b/>
          <w:noProof/>
          <w:sz w:val="24"/>
          <w:vertAlign w:val="superscript"/>
          <w:lang w:val="en-GB"/>
        </w:rPr>
        <w:t>st</w:t>
      </w:r>
      <w:r w:rsidR="00FF14C9">
        <w:rPr>
          <w:rFonts w:ascii="Arial" w:eastAsia="MS Mincho" w:hAnsi="Arial"/>
          <w:b/>
          <w:noProof/>
          <w:sz w:val="24"/>
          <w:lang w:val="en-GB"/>
        </w:rPr>
        <w:t xml:space="preserve"> November</w:t>
      </w:r>
      <w:r w:rsidR="003B245F" w:rsidRPr="003B245F">
        <w:rPr>
          <w:rFonts w:ascii="Arial" w:eastAsia="MS Mincho" w:hAnsi="Arial"/>
          <w:b/>
          <w:noProof/>
          <w:sz w:val="24"/>
          <w:lang w:val="en-GB"/>
        </w:rPr>
        <w:t xml:space="preserve"> – </w:t>
      </w:r>
      <w:r w:rsidR="00FF14C9">
        <w:rPr>
          <w:rFonts w:ascii="Arial" w:eastAsia="MS Mincho" w:hAnsi="Arial"/>
          <w:b/>
          <w:noProof/>
          <w:sz w:val="24"/>
          <w:lang w:val="en-GB"/>
        </w:rPr>
        <w:t>12</w:t>
      </w:r>
      <w:r w:rsidR="00FF14C9" w:rsidRPr="00FF14C9">
        <w:rPr>
          <w:rFonts w:ascii="Arial" w:eastAsia="MS Mincho" w:hAnsi="Arial"/>
          <w:b/>
          <w:noProof/>
          <w:sz w:val="24"/>
          <w:vertAlign w:val="superscript"/>
          <w:lang w:val="en-GB"/>
        </w:rPr>
        <w:t>th</w:t>
      </w:r>
      <w:r w:rsidR="00FF14C9">
        <w:rPr>
          <w:rFonts w:ascii="Arial" w:eastAsia="MS Mincho" w:hAnsi="Arial"/>
          <w:b/>
          <w:noProof/>
          <w:sz w:val="24"/>
          <w:lang w:val="en-GB"/>
        </w:rPr>
        <w:t xml:space="preserve"> November</w:t>
      </w:r>
      <w:r w:rsidR="00B60546" w:rsidRPr="00576C4D">
        <w:rPr>
          <w:rFonts w:ascii="Arial" w:eastAsia="MS Mincho" w:hAnsi="Arial"/>
          <w:b/>
          <w:noProof/>
          <w:sz w:val="24"/>
          <w:lang w:val="en-GB"/>
        </w:rPr>
        <w:t xml:space="preserve"> </w:t>
      </w:r>
      <w:r w:rsidR="00646116" w:rsidRPr="00576C4D">
        <w:rPr>
          <w:rFonts w:ascii="Arial" w:eastAsia="MS Mincho" w:hAnsi="Arial"/>
          <w:b/>
          <w:noProof/>
          <w:sz w:val="24"/>
          <w:lang w:val="en-GB"/>
        </w:rPr>
        <w:t>202</w:t>
      </w:r>
      <w:r w:rsidR="00233152" w:rsidRPr="00576C4D">
        <w:rPr>
          <w:rFonts w:ascii="Arial" w:eastAsia="MS Mincho" w:hAnsi="Arial"/>
          <w:b/>
          <w:noProof/>
          <w:sz w:val="24"/>
          <w:lang w:val="en-GB"/>
        </w:rPr>
        <w:t>1</w:t>
      </w:r>
    </w:p>
    <w:p w14:paraId="7A08162A" w14:textId="3F71812E" w:rsidR="00A75095" w:rsidRPr="00576C4D" w:rsidRDefault="00A75095" w:rsidP="00990692">
      <w:pPr>
        <w:spacing w:before="120" w:after="120"/>
        <w:ind w:left="2277" w:hangingChars="945" w:hanging="2277"/>
        <w:rPr>
          <w:rFonts w:ascii="Arial" w:eastAsia="MS Mincho" w:hAnsi="Arial"/>
          <w:sz w:val="24"/>
          <w:lang w:val="en-GB"/>
        </w:rPr>
      </w:pPr>
      <w:r w:rsidRPr="00576C4D">
        <w:rPr>
          <w:rFonts w:ascii="Arial" w:eastAsia="MS Mincho" w:hAnsi="Arial"/>
          <w:b/>
          <w:sz w:val="24"/>
          <w:lang w:val="en-GB" w:eastAsia="en-US"/>
        </w:rPr>
        <w:t>Title:</w:t>
      </w:r>
      <w:r w:rsidR="008E7B68" w:rsidRPr="00576C4D">
        <w:rPr>
          <w:rFonts w:ascii="Arial" w:eastAsia="MS Mincho" w:hAnsi="Arial"/>
          <w:sz w:val="24"/>
          <w:lang w:val="en-GB" w:eastAsia="en-US"/>
        </w:rPr>
        <w:tab/>
      </w:r>
      <w:r w:rsidR="00432946">
        <w:rPr>
          <w:rFonts w:ascii="Arial" w:eastAsia="MS Mincho" w:hAnsi="Arial"/>
          <w:sz w:val="24"/>
          <w:lang w:val="en-GB" w:eastAsia="en-US"/>
        </w:rPr>
        <w:t xml:space="preserve">IBE </w:t>
      </w:r>
      <w:r w:rsidR="006A0898">
        <w:rPr>
          <w:rFonts w:ascii="Arial" w:eastAsia="MS Mincho" w:hAnsi="Arial"/>
          <w:sz w:val="24"/>
          <w:lang w:val="en-GB" w:eastAsia="en-US"/>
        </w:rPr>
        <w:t>requirements</w:t>
      </w:r>
      <w:r w:rsidR="00432946">
        <w:rPr>
          <w:rFonts w:ascii="Arial" w:eastAsia="MS Mincho" w:hAnsi="Arial"/>
          <w:sz w:val="24"/>
          <w:lang w:val="en-GB" w:eastAsia="en-US"/>
        </w:rPr>
        <w:t xml:space="preserve"> </w:t>
      </w:r>
      <w:r w:rsidR="00C72C2B" w:rsidRPr="00C72C2B">
        <w:rPr>
          <w:rFonts w:ascii="Arial" w:eastAsia="MS Mincho" w:hAnsi="Arial"/>
          <w:sz w:val="24"/>
          <w:lang w:val="en-GB" w:eastAsia="en-US"/>
        </w:rPr>
        <w:t xml:space="preserve">for FR2 </w:t>
      </w:r>
      <w:r w:rsidR="00432946">
        <w:rPr>
          <w:rFonts w:ascii="Arial" w:eastAsia="MS Mincho" w:hAnsi="Arial"/>
          <w:sz w:val="24"/>
          <w:lang w:val="en-GB" w:eastAsia="en-US"/>
        </w:rPr>
        <w:t>UL MIMO</w:t>
      </w:r>
    </w:p>
    <w:p w14:paraId="7A08162B" w14:textId="27E8CAC2" w:rsidR="00A75095" w:rsidRPr="00576C4D" w:rsidRDefault="00A75095" w:rsidP="00A26882">
      <w:pPr>
        <w:spacing w:before="120" w:after="120"/>
        <w:ind w:left="1985" w:hanging="1985"/>
        <w:rPr>
          <w:rFonts w:ascii="Arial" w:eastAsia="MS Mincho" w:hAnsi="Arial"/>
          <w:lang w:val="en-GB"/>
        </w:rPr>
      </w:pPr>
      <w:r w:rsidRPr="00576C4D">
        <w:rPr>
          <w:rFonts w:ascii="Arial" w:eastAsia="MS Mincho" w:hAnsi="Arial"/>
          <w:b/>
          <w:sz w:val="24"/>
          <w:lang w:val="en-GB" w:eastAsia="en-US"/>
        </w:rPr>
        <w:t>Source:</w:t>
      </w:r>
      <w:r w:rsidRPr="00576C4D">
        <w:rPr>
          <w:rFonts w:ascii="Arial" w:hAnsi="Arial"/>
          <w:b/>
          <w:lang w:val="en-GB"/>
        </w:rPr>
        <w:tab/>
      </w:r>
      <w:r w:rsidRPr="00576C4D">
        <w:rPr>
          <w:rFonts w:ascii="Arial" w:hAnsi="Arial"/>
          <w:b/>
          <w:lang w:val="en-GB"/>
        </w:rPr>
        <w:tab/>
      </w:r>
      <w:r w:rsidR="008E7B68" w:rsidRPr="00576C4D">
        <w:rPr>
          <w:rFonts w:ascii="Arial" w:hAnsi="Arial"/>
          <w:b/>
          <w:lang w:val="en-GB"/>
        </w:rPr>
        <w:tab/>
      </w:r>
      <w:r w:rsidRPr="00576C4D">
        <w:rPr>
          <w:rFonts w:ascii="Arial" w:hAnsi="Arial"/>
          <w:sz w:val="24"/>
          <w:lang w:val="en-GB"/>
        </w:rPr>
        <w:t>Anritsu</w:t>
      </w:r>
      <w:r w:rsidR="00DB0D17" w:rsidRPr="00576C4D">
        <w:rPr>
          <w:rFonts w:ascii="Arial" w:eastAsia="MS Mincho" w:hAnsi="Arial"/>
          <w:sz w:val="24"/>
          <w:lang w:val="en-GB"/>
        </w:rPr>
        <w:t xml:space="preserve"> </w:t>
      </w:r>
      <w:r w:rsidR="005E74A9">
        <w:rPr>
          <w:rFonts w:ascii="Arial" w:eastAsia="MS Mincho" w:hAnsi="Arial"/>
          <w:sz w:val="24"/>
          <w:lang w:val="en-GB"/>
        </w:rPr>
        <w:t>Limited</w:t>
      </w:r>
    </w:p>
    <w:p w14:paraId="7A08162C" w14:textId="029C2A6C" w:rsidR="00A75095" w:rsidRPr="00576C4D" w:rsidRDefault="00A75095" w:rsidP="00A26882">
      <w:pPr>
        <w:spacing w:before="120" w:after="120"/>
        <w:ind w:left="1985" w:hanging="1985"/>
        <w:rPr>
          <w:rFonts w:ascii="Arial" w:eastAsia="MS Mincho" w:hAnsi="Arial"/>
          <w:sz w:val="28"/>
          <w:lang w:val="en-GB"/>
        </w:rPr>
      </w:pPr>
      <w:r w:rsidRPr="00576C4D">
        <w:rPr>
          <w:rFonts w:ascii="Arial" w:eastAsia="MS Mincho" w:hAnsi="Arial"/>
          <w:b/>
          <w:sz w:val="24"/>
          <w:lang w:val="en-GB" w:eastAsia="en-US"/>
        </w:rPr>
        <w:t>Agenda Item:</w:t>
      </w:r>
      <w:r w:rsidRPr="00576C4D">
        <w:rPr>
          <w:rFonts w:ascii="Arial" w:hAnsi="Arial"/>
          <w:lang w:val="en-GB"/>
        </w:rPr>
        <w:tab/>
      </w:r>
      <w:r w:rsidRPr="00576C4D">
        <w:rPr>
          <w:rFonts w:ascii="Arial" w:hAnsi="Arial"/>
          <w:lang w:val="en-GB"/>
        </w:rPr>
        <w:tab/>
      </w:r>
      <w:r w:rsidRPr="00576C4D">
        <w:rPr>
          <w:rFonts w:ascii="Arial" w:hAnsi="Arial"/>
          <w:lang w:val="en-GB"/>
        </w:rPr>
        <w:tab/>
      </w:r>
      <w:r w:rsidR="009E633F">
        <w:rPr>
          <w:rFonts w:ascii="Arial" w:eastAsiaTheme="minorEastAsia" w:hAnsi="Arial"/>
          <w:sz w:val="24"/>
          <w:lang w:val="en-GB"/>
        </w:rPr>
        <w:t>4</w:t>
      </w:r>
      <w:r w:rsidR="000D06E7">
        <w:rPr>
          <w:rFonts w:ascii="Arial" w:eastAsiaTheme="minorEastAsia" w:hAnsi="Arial"/>
          <w:sz w:val="24"/>
          <w:lang w:val="en-GB"/>
        </w:rPr>
        <w:t>.</w:t>
      </w:r>
      <w:r w:rsidR="009E633F">
        <w:rPr>
          <w:rFonts w:ascii="Arial" w:eastAsiaTheme="minorEastAsia" w:hAnsi="Arial"/>
          <w:sz w:val="24"/>
          <w:lang w:val="en-GB"/>
        </w:rPr>
        <w:t>1</w:t>
      </w:r>
      <w:r w:rsidR="000D06E7">
        <w:rPr>
          <w:rFonts w:ascii="Arial" w:eastAsiaTheme="minorEastAsia" w:hAnsi="Arial"/>
          <w:sz w:val="24"/>
          <w:lang w:val="en-GB"/>
        </w:rPr>
        <w:t>.</w:t>
      </w:r>
      <w:r w:rsidR="009E633F">
        <w:rPr>
          <w:rFonts w:ascii="Arial" w:eastAsiaTheme="minorEastAsia" w:hAnsi="Arial"/>
          <w:sz w:val="24"/>
          <w:lang w:val="en-GB"/>
        </w:rPr>
        <w:t>1</w:t>
      </w:r>
      <w:r w:rsidR="000D06E7">
        <w:rPr>
          <w:rFonts w:ascii="Arial" w:eastAsiaTheme="minorEastAsia" w:hAnsi="Arial"/>
          <w:sz w:val="24"/>
          <w:lang w:val="en-GB"/>
        </w:rPr>
        <w:t>.</w:t>
      </w:r>
      <w:r w:rsidR="009E633F">
        <w:rPr>
          <w:rFonts w:ascii="Arial" w:eastAsiaTheme="minorEastAsia" w:hAnsi="Arial"/>
          <w:sz w:val="24"/>
          <w:lang w:val="en-GB"/>
        </w:rPr>
        <w:t>2</w:t>
      </w:r>
      <w:r w:rsidR="000D06E7">
        <w:rPr>
          <w:rFonts w:ascii="Arial" w:eastAsiaTheme="minorEastAsia" w:hAnsi="Arial"/>
          <w:sz w:val="24"/>
          <w:lang w:val="en-GB"/>
        </w:rPr>
        <w:t>.</w:t>
      </w:r>
    </w:p>
    <w:p w14:paraId="7A08162D" w14:textId="67BE96DC" w:rsidR="00A75095" w:rsidRPr="00576C4D" w:rsidRDefault="00A75095" w:rsidP="005F2974">
      <w:pPr>
        <w:spacing w:before="120" w:after="120"/>
        <w:ind w:left="1985" w:hanging="1985"/>
        <w:rPr>
          <w:rFonts w:ascii="Arial" w:eastAsia="MS Mincho" w:hAnsi="Arial"/>
          <w:lang w:val="en-GB"/>
        </w:rPr>
      </w:pPr>
      <w:r w:rsidRPr="00576C4D">
        <w:rPr>
          <w:rFonts w:ascii="Arial" w:eastAsia="MS Mincho" w:hAnsi="Arial"/>
          <w:b/>
          <w:sz w:val="24"/>
          <w:lang w:val="en-GB" w:eastAsia="en-US"/>
        </w:rPr>
        <w:t>Document for:</w:t>
      </w:r>
      <w:r w:rsidRPr="00576C4D">
        <w:rPr>
          <w:rFonts w:ascii="Arial" w:hAnsi="Arial"/>
          <w:lang w:val="en-GB"/>
        </w:rPr>
        <w:tab/>
      </w:r>
      <w:r w:rsidRPr="00576C4D">
        <w:rPr>
          <w:rFonts w:ascii="Arial" w:hAnsi="Arial"/>
          <w:lang w:val="en-GB"/>
        </w:rPr>
        <w:tab/>
      </w:r>
      <w:r w:rsidRPr="00576C4D">
        <w:rPr>
          <w:rFonts w:ascii="Arial" w:hAnsi="Arial"/>
          <w:lang w:val="en-GB"/>
        </w:rPr>
        <w:tab/>
      </w:r>
      <w:r w:rsidR="002C04E0" w:rsidRPr="00576C4D">
        <w:rPr>
          <w:rFonts w:ascii="Arial" w:eastAsia="MS Mincho" w:hAnsi="Arial"/>
          <w:sz w:val="24"/>
          <w:lang w:val="en-GB"/>
        </w:rPr>
        <w:t>Approval</w:t>
      </w:r>
      <w:bookmarkStart w:id="0" w:name="_GoBack"/>
      <w:bookmarkEnd w:id="0"/>
    </w:p>
    <w:p w14:paraId="7A08162E" w14:textId="77777777" w:rsidR="005F2974" w:rsidRPr="00576C4D" w:rsidRDefault="009E633F"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28756C" w:rsidRDefault="00A75095" w:rsidP="00E7577D">
      <w:pPr>
        <w:pStyle w:val="tdoc-header"/>
        <w:overflowPunct w:val="0"/>
        <w:autoSpaceDE w:val="0"/>
        <w:autoSpaceDN w:val="0"/>
        <w:adjustRightInd w:val="0"/>
        <w:spacing w:after="180"/>
        <w:textAlignment w:val="baseline"/>
        <w:outlineLvl w:val="0"/>
        <w:rPr>
          <w:b/>
          <w:noProof w:val="0"/>
          <w:lang w:eastAsia="ja-JP"/>
        </w:rPr>
      </w:pPr>
      <w:r w:rsidRPr="0028756C">
        <w:rPr>
          <w:b/>
          <w:noProof w:val="0"/>
        </w:rPr>
        <w:t>1.</w:t>
      </w:r>
      <w:r w:rsidRPr="0028756C">
        <w:rPr>
          <w:b/>
          <w:noProof w:val="0"/>
        </w:rPr>
        <w:tab/>
        <w:t>Introduction</w:t>
      </w:r>
    </w:p>
    <w:p w14:paraId="496A3813" w14:textId="0D2EA814" w:rsidR="009973EA" w:rsidRPr="0028756C" w:rsidRDefault="009973EA" w:rsidP="00612EC6">
      <w:pPr>
        <w:spacing w:before="120" w:after="120"/>
        <w:ind w:firstLine="284"/>
        <w:jc w:val="both"/>
        <w:rPr>
          <w:rFonts w:eastAsia="MS Mincho"/>
          <w:lang w:val="en-GB"/>
        </w:rPr>
      </w:pPr>
      <w:r w:rsidRPr="0028756C">
        <w:rPr>
          <w:rFonts w:eastAsia="MS Mincho"/>
          <w:lang w:val="en-GB"/>
        </w:rPr>
        <w:t xml:space="preserve">The aim of this contribution is to support and acknowledge the </w:t>
      </w:r>
      <w:r w:rsidR="00612EC6" w:rsidRPr="0028756C">
        <w:rPr>
          <w:rFonts w:eastAsia="MS Mincho"/>
          <w:lang w:val="en-GB"/>
        </w:rPr>
        <w:t xml:space="preserve">importance of [2] and [3] that were presented during RAN4 #100-e </w:t>
      </w:r>
      <w:r w:rsidR="005646A4" w:rsidRPr="0028756C">
        <w:rPr>
          <w:rFonts w:eastAsia="MS Mincho"/>
          <w:lang w:val="en-GB"/>
        </w:rPr>
        <w:t>for</w:t>
      </w:r>
      <w:r w:rsidRPr="0028756C">
        <w:rPr>
          <w:rFonts w:eastAsia="MS Mincho"/>
          <w:lang w:val="en-GB"/>
        </w:rPr>
        <w:t xml:space="preserve"> </w:t>
      </w:r>
      <w:r w:rsidR="005646A4" w:rsidRPr="0028756C">
        <w:rPr>
          <w:rFonts w:eastAsia="MS Mincho"/>
          <w:lang w:val="en-GB"/>
        </w:rPr>
        <w:t>resolving</w:t>
      </w:r>
      <w:r w:rsidRPr="0028756C">
        <w:rPr>
          <w:rFonts w:eastAsia="MS Mincho"/>
          <w:lang w:val="en-GB"/>
        </w:rPr>
        <w:t xml:space="preserve"> the oddity </w:t>
      </w:r>
      <w:r w:rsidR="00612EC6" w:rsidRPr="0028756C">
        <w:rPr>
          <w:rFonts w:eastAsia="MS Mincho"/>
          <w:lang w:val="en-GB"/>
        </w:rPr>
        <w:t>of having</w:t>
      </w:r>
      <w:r w:rsidRPr="0028756C">
        <w:rPr>
          <w:rFonts w:eastAsia="MS Mincho"/>
          <w:lang w:val="en-GB"/>
        </w:rPr>
        <w:t xml:space="preserve"> the IBE requirements for UL MIMO </w:t>
      </w:r>
      <w:r w:rsidR="00612EC6" w:rsidRPr="0028756C">
        <w:rPr>
          <w:rFonts w:eastAsia="MS Mincho"/>
          <w:lang w:val="en-GB"/>
        </w:rPr>
        <w:t>d</w:t>
      </w:r>
      <w:r w:rsidRPr="0028756C">
        <w:rPr>
          <w:rFonts w:eastAsia="MS Mincho"/>
          <w:lang w:val="en-GB"/>
        </w:rPr>
        <w:t>efined per layer</w:t>
      </w:r>
      <w:r w:rsidR="00612EC6" w:rsidRPr="0028756C">
        <w:rPr>
          <w:rFonts w:eastAsia="MS Mincho"/>
          <w:lang w:val="en-GB"/>
        </w:rPr>
        <w:t xml:space="preserve"> in [1]</w:t>
      </w:r>
      <w:r w:rsidRPr="0028756C">
        <w:rPr>
          <w:rFonts w:eastAsia="MS Mincho"/>
          <w:lang w:val="en-GB"/>
        </w:rPr>
        <w:t>.</w:t>
      </w:r>
      <w:r w:rsidR="005646A4" w:rsidRPr="0028756C">
        <w:rPr>
          <w:rFonts w:eastAsia="MS Mincho"/>
          <w:lang w:val="en-GB"/>
        </w:rPr>
        <w:t xml:space="preserve"> Unfortunately, the proposal was not accepted.</w:t>
      </w:r>
    </w:p>
    <w:p w14:paraId="1B157790" w14:textId="15D13F26" w:rsidR="009973EA" w:rsidRPr="0028756C" w:rsidRDefault="005646A4" w:rsidP="00612EC6">
      <w:pPr>
        <w:spacing w:before="120" w:after="120"/>
        <w:ind w:firstLine="284"/>
        <w:jc w:val="both"/>
        <w:rPr>
          <w:rFonts w:eastAsia="MS Mincho"/>
        </w:rPr>
      </w:pPr>
      <w:r w:rsidRPr="0028756C">
        <w:rPr>
          <w:rFonts w:eastAsia="MS Mincho"/>
        </w:rPr>
        <w:t xml:space="preserve">It is well known that </w:t>
      </w:r>
      <w:r w:rsidR="009973EA" w:rsidRPr="0028756C">
        <w:rPr>
          <w:rFonts w:eastAsia="MS Mincho"/>
        </w:rPr>
        <w:t xml:space="preserve">IBE from UE can interfere with the allocated resource blocks of another UE. The data content (if present) of the IBE is not relevant </w:t>
      </w:r>
      <w:r w:rsidR="00D3561A">
        <w:rPr>
          <w:rFonts w:eastAsia="MS Mincho"/>
        </w:rPr>
        <w:t>to</w:t>
      </w:r>
      <w:r w:rsidRPr="0028756C">
        <w:rPr>
          <w:rFonts w:eastAsia="MS Mincho"/>
        </w:rPr>
        <w:t xml:space="preserve"> the victim UE </w:t>
      </w:r>
      <w:r w:rsidR="009973EA" w:rsidRPr="0028756C">
        <w:rPr>
          <w:rFonts w:eastAsia="MS Mincho"/>
        </w:rPr>
        <w:t>and so differentiation of IBE per layer is irrelevant, only their combined power level is relevant as the interference and noise of IBE degrade the input SINR of other UE receivers by increasing I and N.</w:t>
      </w:r>
      <w:r w:rsidR="002676C0">
        <w:rPr>
          <w:rFonts w:eastAsia="MS Mincho"/>
        </w:rPr>
        <w:t xml:space="preserve"> That is why we agree</w:t>
      </w:r>
      <w:r w:rsidR="009973EA" w:rsidRPr="0028756C">
        <w:rPr>
          <w:rFonts w:eastAsia="MS Mincho"/>
        </w:rPr>
        <w:t xml:space="preserve"> with </w:t>
      </w:r>
      <w:r w:rsidR="002676C0">
        <w:rPr>
          <w:rFonts w:eastAsia="MS Mincho"/>
        </w:rPr>
        <w:t xml:space="preserve">the proposal shown in </w:t>
      </w:r>
      <w:r w:rsidRPr="0028756C">
        <w:rPr>
          <w:rFonts w:eastAsia="MS Mincho"/>
        </w:rPr>
        <w:t>[2] and [3]</w:t>
      </w:r>
      <w:r w:rsidR="009973EA" w:rsidRPr="0028756C">
        <w:rPr>
          <w:rFonts w:eastAsia="MS Mincho"/>
        </w:rPr>
        <w:t xml:space="preserve"> about </w:t>
      </w:r>
      <w:r w:rsidR="002676C0">
        <w:rPr>
          <w:rFonts w:eastAsia="MS Mincho"/>
        </w:rPr>
        <w:t>having</w:t>
      </w:r>
      <w:r w:rsidR="009973EA" w:rsidRPr="0028756C">
        <w:rPr>
          <w:rFonts w:eastAsia="MS Mincho"/>
        </w:rPr>
        <w:t xml:space="preserve"> the IBE </w:t>
      </w:r>
      <w:r w:rsidR="002676C0">
        <w:rPr>
          <w:rFonts w:eastAsia="MS Mincho"/>
        </w:rPr>
        <w:t xml:space="preserve">measured </w:t>
      </w:r>
      <w:r w:rsidR="009973EA" w:rsidRPr="0028756C">
        <w:rPr>
          <w:rFonts w:eastAsia="MS Mincho"/>
        </w:rPr>
        <w:t>as total component of EIRP</w:t>
      </w:r>
      <w:r w:rsidR="002676C0">
        <w:rPr>
          <w:rFonts w:eastAsia="MS Mincho"/>
        </w:rPr>
        <w:t xml:space="preserve"> as explained further thereafter.</w:t>
      </w:r>
    </w:p>
    <w:p w14:paraId="7A081631" w14:textId="77777777" w:rsidR="005F2974" w:rsidRPr="0028756C" w:rsidRDefault="009E633F" w:rsidP="005F2974">
      <w:pPr>
        <w:spacing w:before="120" w:after="120"/>
        <w:rPr>
          <w:rFonts w:eastAsia="MS Mincho"/>
          <w:lang w:val="en-GB"/>
        </w:rPr>
      </w:pPr>
      <w:r>
        <w:rPr>
          <w:lang w:val="en-GB"/>
        </w:rPr>
        <w:pict w14:anchorId="7A08166B">
          <v:rect id="_x0000_i1026" style="width:482.05pt;height:1pt" o:hralign="center" o:hrstd="t" o:hrnoshade="t" o:hr="t" fillcolor="#0d0d0d" stroked="f">
            <v:textbox inset="5.85pt,.7pt,5.85pt,.7pt"/>
          </v:rect>
        </w:pict>
      </w:r>
    </w:p>
    <w:p w14:paraId="7A081632" w14:textId="77777777" w:rsidR="00B134E7" w:rsidRPr="0028756C" w:rsidRDefault="009C5607" w:rsidP="009C5607">
      <w:pPr>
        <w:pStyle w:val="tdoc-header"/>
        <w:overflowPunct w:val="0"/>
        <w:autoSpaceDE w:val="0"/>
        <w:autoSpaceDN w:val="0"/>
        <w:adjustRightInd w:val="0"/>
        <w:spacing w:after="180"/>
        <w:textAlignment w:val="baseline"/>
        <w:outlineLvl w:val="0"/>
        <w:rPr>
          <w:b/>
          <w:noProof w:val="0"/>
          <w:lang w:eastAsia="ja-JP"/>
        </w:rPr>
      </w:pPr>
      <w:r w:rsidRPr="0028756C">
        <w:rPr>
          <w:b/>
          <w:noProof w:val="0"/>
          <w:lang w:eastAsia="ja-JP"/>
        </w:rPr>
        <w:t>2</w:t>
      </w:r>
      <w:r w:rsidRPr="0028756C">
        <w:rPr>
          <w:b/>
          <w:noProof w:val="0"/>
        </w:rPr>
        <w:t>.</w:t>
      </w:r>
      <w:r w:rsidRPr="0028756C">
        <w:rPr>
          <w:b/>
          <w:noProof w:val="0"/>
        </w:rPr>
        <w:tab/>
      </w:r>
      <w:r w:rsidRPr="0028756C">
        <w:rPr>
          <w:b/>
          <w:noProof w:val="0"/>
          <w:lang w:eastAsia="ja-JP"/>
        </w:rPr>
        <w:t>Discussion</w:t>
      </w:r>
    </w:p>
    <w:p w14:paraId="265CAEF5" w14:textId="728BD407" w:rsidR="00331705" w:rsidRPr="0028756C" w:rsidRDefault="00331705" w:rsidP="00954DD1">
      <w:pPr>
        <w:spacing w:before="120" w:after="120"/>
        <w:ind w:firstLine="284"/>
        <w:jc w:val="both"/>
        <w:rPr>
          <w:rFonts w:eastAsia="MS Mincho"/>
        </w:rPr>
      </w:pPr>
      <w:r w:rsidRPr="0028756C">
        <w:rPr>
          <w:rFonts w:eastAsia="MS Mincho"/>
        </w:rPr>
        <w:t>As written in [</w:t>
      </w:r>
      <w:r w:rsidR="003940CA" w:rsidRPr="0028756C">
        <w:rPr>
          <w:rFonts w:eastAsia="MS Mincho"/>
        </w:rPr>
        <w:t>1</w:t>
      </w:r>
      <w:r w:rsidRPr="0028756C">
        <w:rPr>
          <w:rFonts w:eastAsia="MS Mincho"/>
        </w:rPr>
        <w:t xml:space="preserve">], “The in-band emission is measured as the ratio of the UE output power in a non–allocated RB to the UE output power in an allocated RB.” </w:t>
      </w:r>
      <w:r w:rsidR="00701C84" w:rsidRPr="0028756C">
        <w:rPr>
          <w:rFonts w:eastAsia="MS Mincho"/>
        </w:rPr>
        <w:t>and</w:t>
      </w:r>
      <w:r w:rsidRPr="0028756C">
        <w:rPr>
          <w:rFonts w:eastAsia="MS Mincho"/>
        </w:rPr>
        <w:t xml:space="preserve"> “The requirement is verified with the test metric of In-band emission (Link=TX beam peak direction, </w:t>
      </w:r>
      <w:proofErr w:type="spellStart"/>
      <w:r w:rsidRPr="0028756C">
        <w:rPr>
          <w:rFonts w:eastAsia="MS Mincho"/>
        </w:rPr>
        <w:t>Meas</w:t>
      </w:r>
      <w:proofErr w:type="spellEnd"/>
      <w:r w:rsidRPr="0028756C">
        <w:rPr>
          <w:rFonts w:eastAsia="MS Mincho"/>
        </w:rPr>
        <w:t>=Link angle).”</w:t>
      </w:r>
    </w:p>
    <w:p w14:paraId="642CEBCF" w14:textId="6920AD9F" w:rsidR="00331705" w:rsidRPr="0028756C" w:rsidRDefault="00701C84" w:rsidP="00954DD1">
      <w:pPr>
        <w:spacing w:before="120" w:after="120"/>
        <w:ind w:firstLine="284"/>
        <w:jc w:val="both"/>
        <w:rPr>
          <w:rFonts w:eastAsia="MS Mincho"/>
        </w:rPr>
      </w:pPr>
      <w:r w:rsidRPr="0028756C">
        <w:rPr>
          <w:rFonts w:eastAsia="MS Mincho"/>
        </w:rPr>
        <w:t>As defined i</w:t>
      </w:r>
      <w:r w:rsidR="00331705" w:rsidRPr="0028756C">
        <w:rPr>
          <w:rFonts w:eastAsia="MS Mincho"/>
        </w:rPr>
        <w:t>n [</w:t>
      </w:r>
      <w:r w:rsidR="003940CA" w:rsidRPr="0028756C">
        <w:rPr>
          <w:rFonts w:eastAsia="MS Mincho"/>
        </w:rPr>
        <w:t>1</w:t>
      </w:r>
      <w:r w:rsidR="00331705" w:rsidRPr="0028756C">
        <w:rPr>
          <w:rFonts w:eastAsia="MS Mincho"/>
        </w:rPr>
        <w:t xml:space="preserve">], the “TX beam peak direction” </w:t>
      </w:r>
      <w:bookmarkStart w:id="1" w:name="_Hlk84865485"/>
      <w:r w:rsidR="00331705" w:rsidRPr="0028756C">
        <w:rPr>
          <w:rFonts w:eastAsia="MS Mincho"/>
        </w:rPr>
        <w:t xml:space="preserve">is the “direction where the maximum total component of EIRP is found”, </w:t>
      </w:r>
      <w:bookmarkEnd w:id="1"/>
      <w:r w:rsidR="00331705" w:rsidRPr="0028756C">
        <w:rPr>
          <w:rFonts w:eastAsia="MS Mincho"/>
        </w:rPr>
        <w:t>meaning where [</w:t>
      </w:r>
      <w:proofErr w:type="spellStart"/>
      <w:r w:rsidR="00331705" w:rsidRPr="0028756C">
        <w:rPr>
          <w:rFonts w:eastAsia="MS Mincho"/>
        </w:rPr>
        <w:t>EIRP</w:t>
      </w:r>
      <w:proofErr w:type="gramStart"/>
      <w:r w:rsidR="00331705" w:rsidRPr="0028756C">
        <w:rPr>
          <w:rFonts w:eastAsia="MS Mincho"/>
          <w:vertAlign w:val="subscript"/>
        </w:rPr>
        <w:t>θ</w:t>
      </w:r>
      <w:proofErr w:type="spellEnd"/>
      <w:r w:rsidR="00331705" w:rsidRPr="0028756C">
        <w:rPr>
          <w:rFonts w:eastAsia="MS Mincho"/>
        </w:rPr>
        <w:t>(</w:t>
      </w:r>
      <w:proofErr w:type="gramEnd"/>
      <w:r w:rsidR="00331705" w:rsidRPr="0028756C">
        <w:rPr>
          <w:rFonts w:eastAsia="MS Mincho"/>
        </w:rPr>
        <w:t xml:space="preserve">θ, </w:t>
      </w:r>
      <w:r w:rsidR="00331705" w:rsidRPr="0028756C">
        <w:rPr>
          <w:rFonts w:ascii="Calibri" w:eastAsia="MS Mincho" w:hAnsi="Calibri" w:cs="Calibri"/>
        </w:rPr>
        <w:t>φ</w:t>
      </w:r>
      <w:r w:rsidR="00331705" w:rsidRPr="0028756C">
        <w:rPr>
          <w:rFonts w:eastAsia="MS Mincho"/>
        </w:rPr>
        <w:t xml:space="preserve">) + </w:t>
      </w:r>
      <w:proofErr w:type="spellStart"/>
      <w:r w:rsidR="00331705" w:rsidRPr="0028756C">
        <w:rPr>
          <w:rFonts w:eastAsia="MS Mincho"/>
        </w:rPr>
        <w:t>EIRP</w:t>
      </w:r>
      <w:r w:rsidR="00331705" w:rsidRPr="0028756C">
        <w:rPr>
          <w:rFonts w:ascii="Calibri" w:eastAsia="MS Mincho" w:hAnsi="Calibri" w:cs="Calibri"/>
          <w:vertAlign w:val="subscript"/>
        </w:rPr>
        <w:t>φ</w:t>
      </w:r>
      <w:proofErr w:type="spellEnd"/>
      <w:r w:rsidR="00331705" w:rsidRPr="0028756C">
        <w:rPr>
          <w:rFonts w:eastAsia="MS Mincho"/>
        </w:rPr>
        <w:t xml:space="preserve">(θ, </w:t>
      </w:r>
      <w:r w:rsidR="00331705" w:rsidRPr="0028756C">
        <w:rPr>
          <w:rFonts w:ascii="Calibri" w:eastAsia="MS Mincho" w:hAnsi="Calibri" w:cs="Calibri"/>
        </w:rPr>
        <w:t>φ</w:t>
      </w:r>
      <w:r w:rsidR="00331705" w:rsidRPr="0028756C">
        <w:rPr>
          <w:rFonts w:eastAsia="MS Mincho"/>
        </w:rPr>
        <w:t xml:space="preserve">)] is maximum, with </w:t>
      </w:r>
      <w:proofErr w:type="spellStart"/>
      <w:r w:rsidR="00331705" w:rsidRPr="0028756C">
        <w:rPr>
          <w:rFonts w:eastAsia="MS Mincho"/>
        </w:rPr>
        <w:t>EIRP</w:t>
      </w:r>
      <w:r w:rsidR="00331705" w:rsidRPr="0028756C">
        <w:rPr>
          <w:rFonts w:eastAsia="MS Mincho"/>
          <w:vertAlign w:val="subscript"/>
        </w:rPr>
        <w:t>θ</w:t>
      </w:r>
      <w:proofErr w:type="spellEnd"/>
      <w:r w:rsidR="00331705" w:rsidRPr="0028756C">
        <w:rPr>
          <w:rFonts w:eastAsia="MS Mincho"/>
        </w:rPr>
        <w:t xml:space="preserve"> and </w:t>
      </w:r>
      <w:proofErr w:type="spellStart"/>
      <w:r w:rsidR="00331705" w:rsidRPr="0028756C">
        <w:rPr>
          <w:rFonts w:eastAsia="MS Mincho"/>
        </w:rPr>
        <w:t>EIRP</w:t>
      </w:r>
      <w:r w:rsidR="00331705" w:rsidRPr="0028756C">
        <w:rPr>
          <w:rFonts w:ascii="Calibri" w:eastAsia="MS Mincho" w:hAnsi="Calibri" w:cs="Calibri"/>
          <w:vertAlign w:val="subscript"/>
        </w:rPr>
        <w:t>φ</w:t>
      </w:r>
      <w:proofErr w:type="spellEnd"/>
      <w:r w:rsidR="00331705" w:rsidRPr="0028756C">
        <w:rPr>
          <w:rFonts w:ascii="Calibri" w:eastAsia="MS Mincho" w:hAnsi="Calibri" w:cs="Calibri"/>
          <w:vertAlign w:val="subscript"/>
        </w:rPr>
        <w:t xml:space="preserve"> </w:t>
      </w:r>
      <w:r w:rsidR="00331705" w:rsidRPr="0028756C">
        <w:rPr>
          <w:rFonts w:eastAsia="MS Mincho"/>
        </w:rPr>
        <w:t xml:space="preserve">are the contributions </w:t>
      </w:r>
      <w:r w:rsidRPr="0028756C">
        <w:rPr>
          <w:rFonts w:eastAsia="MS Mincho"/>
        </w:rPr>
        <w:t xml:space="preserve">measured </w:t>
      </w:r>
      <w:r w:rsidR="00331705" w:rsidRPr="0028756C">
        <w:rPr>
          <w:rFonts w:eastAsia="MS Mincho"/>
        </w:rPr>
        <w:t xml:space="preserve">from </w:t>
      </w:r>
      <w:r w:rsidR="00331705" w:rsidRPr="0028756C">
        <w:rPr>
          <w:rFonts w:ascii="Calibri" w:eastAsia="MS Mincho" w:hAnsi="Calibri" w:cs="Calibri"/>
        </w:rPr>
        <w:t>φ</w:t>
      </w:r>
      <w:r w:rsidR="00331705" w:rsidRPr="0028756C">
        <w:rPr>
          <w:rFonts w:eastAsia="MS Mincho"/>
        </w:rPr>
        <w:t xml:space="preserve"> and θ directions. In the case of UL MIMO, the same definition can be used but considering the maximum total component of EIRP </w:t>
      </w:r>
      <w:r w:rsidR="002676C0">
        <w:rPr>
          <w:rFonts w:eastAsia="MS Mincho"/>
        </w:rPr>
        <w:t xml:space="preserve">not for a single transmitter but </w:t>
      </w:r>
      <w:r w:rsidR="00331705" w:rsidRPr="0028756C">
        <w:rPr>
          <w:rFonts w:eastAsia="MS Mincho"/>
        </w:rPr>
        <w:t>due to 2Tx.</w:t>
      </w:r>
    </w:p>
    <w:p w14:paraId="06626CF4" w14:textId="055ED028" w:rsidR="00701C84" w:rsidRPr="0028756C" w:rsidRDefault="00701C84" w:rsidP="00954DD1">
      <w:pPr>
        <w:spacing w:before="120" w:after="120"/>
        <w:jc w:val="both"/>
        <w:rPr>
          <w:b/>
        </w:rPr>
      </w:pPr>
      <w:r w:rsidRPr="0028756C">
        <w:rPr>
          <w:b/>
          <w:bCs/>
        </w:rPr>
        <w:t>Observation 1</w:t>
      </w:r>
      <w:r w:rsidRPr="0028756C">
        <w:rPr>
          <w:b/>
        </w:rPr>
        <w:t>: The IBE can as the SISO case be measured in the “TX beam peak direction” i.e. is the “direction where the maximum total component of EIRP is found”.</w:t>
      </w:r>
    </w:p>
    <w:p w14:paraId="770E9B22" w14:textId="335C9F2A" w:rsidR="00701C84" w:rsidRDefault="00087AB4" w:rsidP="00954DD1">
      <w:pPr>
        <w:spacing w:before="120" w:after="120"/>
        <w:ind w:firstLine="284"/>
        <w:jc w:val="both"/>
        <w:rPr>
          <w:rFonts w:eastAsia="MS Mincho"/>
        </w:rPr>
      </w:pPr>
      <w:r w:rsidRPr="0028756C">
        <w:rPr>
          <w:rFonts w:eastAsia="MS Mincho"/>
        </w:rPr>
        <w:t xml:space="preserve">In the case of SISO, it is also written in a note applying to the different tables “NOTE 11: All powers are EIRP in beam peak direction.” [1]. It is then clearly stated that both non-allocated RB and allocated RB are </w:t>
      </w:r>
      <w:r w:rsidR="007E6CED" w:rsidRPr="0028756C">
        <w:rPr>
          <w:rFonts w:eastAsia="MS Mincho"/>
        </w:rPr>
        <w:t xml:space="preserve">measured as </w:t>
      </w:r>
      <w:r w:rsidRPr="0028756C">
        <w:rPr>
          <w:rFonts w:eastAsia="MS Mincho"/>
        </w:rPr>
        <w:t>EIRP.</w:t>
      </w:r>
    </w:p>
    <w:p w14:paraId="235193EF" w14:textId="793CA58B" w:rsidR="00087AB4" w:rsidRDefault="00131C05" w:rsidP="00954DD1">
      <w:pPr>
        <w:spacing w:before="120" w:after="120"/>
        <w:jc w:val="both"/>
        <w:rPr>
          <w:rFonts w:eastAsia="MS Mincho"/>
        </w:rPr>
      </w:pPr>
      <w:r>
        <w:rPr>
          <w:rFonts w:eastAsia="MS Mincho"/>
        </w:rPr>
        <w:t xml:space="preserve">The text in [3] regarding the in-band emission requirements in section </w:t>
      </w:r>
      <w:r w:rsidRPr="00131C05">
        <w:rPr>
          <w:rFonts w:eastAsia="MS Mincho"/>
        </w:rPr>
        <w:t>6.4D.2 Transmit modulation quality for UL MIMO</w:t>
      </w:r>
      <w:r>
        <w:rPr>
          <w:rFonts w:eastAsia="MS Mincho"/>
        </w:rPr>
        <w:t xml:space="preserve"> serves in a way to confirm that requirements are similar to </w:t>
      </w:r>
      <w:r w:rsidR="00954DD1">
        <w:rPr>
          <w:rFonts w:eastAsia="MS Mincho"/>
        </w:rPr>
        <w:t>SISO:</w:t>
      </w:r>
      <w:r>
        <w:rPr>
          <w:rFonts w:eastAsia="MS Mincho"/>
        </w:rPr>
        <w:t xml:space="preserve"> the aim of the IBE requirements in SISO, CA, UL MIMO being to check the total component of EIRP in the non-allocated RB relative to allocated RB. </w:t>
      </w:r>
    </w:p>
    <w:p w14:paraId="48A94932" w14:textId="650C7349" w:rsidR="00131C05" w:rsidRDefault="00131C05" w:rsidP="00954DD1">
      <w:pPr>
        <w:spacing w:before="120" w:after="120"/>
        <w:jc w:val="both"/>
        <w:rPr>
          <w:rFonts w:eastAsia="MS Mincho"/>
        </w:rPr>
      </w:pPr>
      <w:r w:rsidRPr="00131C05">
        <w:rPr>
          <w:rFonts w:eastAsia="MS Mincho"/>
        </w:rPr>
        <w:t>IBE from UE can interfere with the allocated resource blocks of another UE</w:t>
      </w:r>
      <w:r>
        <w:rPr>
          <w:rFonts w:eastAsia="MS Mincho"/>
        </w:rPr>
        <w:t xml:space="preserve">, for the victim UE, it does not matter if the UE makes use of </w:t>
      </w:r>
      <w:r w:rsidR="00AE2258">
        <w:rPr>
          <w:rFonts w:eastAsia="MS Mincho"/>
        </w:rPr>
        <w:t>single layer (</w:t>
      </w:r>
      <w:r>
        <w:rPr>
          <w:rFonts w:eastAsia="MS Mincho"/>
        </w:rPr>
        <w:t>S</w:t>
      </w:r>
      <w:r w:rsidR="00612EC6">
        <w:rPr>
          <w:rFonts w:eastAsia="MS Mincho"/>
        </w:rPr>
        <w:t>ISO</w:t>
      </w:r>
      <w:r w:rsidR="00AE2258">
        <w:rPr>
          <w:rFonts w:eastAsia="MS Mincho"/>
        </w:rPr>
        <w:t>)</w:t>
      </w:r>
      <w:r w:rsidR="00612EC6">
        <w:rPr>
          <w:rFonts w:eastAsia="MS Mincho"/>
        </w:rPr>
        <w:t xml:space="preserve"> or </w:t>
      </w:r>
      <w:r w:rsidR="00AE2258">
        <w:rPr>
          <w:rFonts w:eastAsia="MS Mincho"/>
        </w:rPr>
        <w:t>two layers (</w:t>
      </w:r>
      <w:r w:rsidR="00612EC6">
        <w:rPr>
          <w:rFonts w:eastAsia="MS Mincho"/>
        </w:rPr>
        <w:t>UL-MIMO</w:t>
      </w:r>
      <w:r w:rsidR="00AE2258">
        <w:rPr>
          <w:rFonts w:eastAsia="MS Mincho"/>
        </w:rPr>
        <w:t>)</w:t>
      </w:r>
      <w:r w:rsidR="00F52929">
        <w:rPr>
          <w:rFonts w:eastAsia="MS Mincho"/>
        </w:rPr>
        <w:t>, the kind of physical antenna arrangement used:</w:t>
      </w:r>
      <w:r w:rsidR="00612EC6">
        <w:rPr>
          <w:rFonts w:eastAsia="MS Mincho"/>
        </w:rPr>
        <w:t xml:space="preserve"> what matters is the total interference level</w:t>
      </w:r>
      <w:r w:rsidR="00AE2258">
        <w:rPr>
          <w:rFonts w:eastAsia="MS Mincho"/>
        </w:rPr>
        <w:t xml:space="preserve"> in dBm</w:t>
      </w:r>
      <w:r w:rsidR="00612EC6">
        <w:rPr>
          <w:rFonts w:eastAsia="MS Mincho"/>
        </w:rPr>
        <w:t xml:space="preserve"> at the victim UE input(s).</w:t>
      </w:r>
    </w:p>
    <w:p w14:paraId="523F8760" w14:textId="7E970A02" w:rsidR="00F52929" w:rsidRDefault="00F52929" w:rsidP="00954DD1">
      <w:pPr>
        <w:spacing w:before="120" w:after="120"/>
        <w:jc w:val="both"/>
        <w:rPr>
          <w:b/>
        </w:rPr>
      </w:pPr>
      <w:r>
        <w:rPr>
          <w:b/>
          <w:bCs/>
        </w:rPr>
        <w:t>Observation 2</w:t>
      </w:r>
      <w:r>
        <w:rPr>
          <w:b/>
        </w:rPr>
        <w:t>: Both the non-allocated RB and allocated RB should be measured as total component of EIRP.</w:t>
      </w:r>
    </w:p>
    <w:p w14:paraId="41EA78CD" w14:textId="77777777" w:rsidR="00BF692A" w:rsidRDefault="00BF692A" w:rsidP="00954DD1">
      <w:pPr>
        <w:spacing w:before="120" w:after="120"/>
        <w:jc w:val="both"/>
        <w:rPr>
          <w:b/>
        </w:rPr>
      </w:pPr>
      <w:r>
        <w:rPr>
          <w:b/>
          <w:bCs/>
        </w:rPr>
        <w:t>Proposal 1</w:t>
      </w:r>
      <w:r>
        <w:rPr>
          <w:b/>
        </w:rPr>
        <w:t xml:space="preserve">: The </w:t>
      </w:r>
      <w:r w:rsidRPr="0028756C">
        <w:rPr>
          <w:b/>
        </w:rPr>
        <w:t>section 6.4D.2 Transmit modulation quality for UL MIMO</w:t>
      </w:r>
      <w:r>
        <w:rPr>
          <w:b/>
        </w:rPr>
        <w:t xml:space="preserve"> should be modified in the same manner as proposed in [3].</w:t>
      </w:r>
    </w:p>
    <w:p w14:paraId="55E7299F" w14:textId="77777777" w:rsidR="00BF692A" w:rsidRDefault="00BF692A">
      <w:pPr>
        <w:spacing w:beforeLines="0" w:before="0" w:afterLines="0" w:after="0"/>
        <w:rPr>
          <w:lang w:val="en-GB"/>
        </w:rPr>
      </w:pPr>
      <w:r>
        <w:rPr>
          <w:lang w:val="en-GB"/>
        </w:rPr>
        <w:br w:type="page"/>
      </w:r>
    </w:p>
    <w:p w14:paraId="7A081654" w14:textId="5B292E6E" w:rsidR="002313A9" w:rsidRPr="00576C4D" w:rsidRDefault="009E633F" w:rsidP="009D057D">
      <w:pPr>
        <w:spacing w:before="120" w:after="120"/>
        <w:rPr>
          <w:lang w:val="en-GB"/>
        </w:rPr>
      </w:pPr>
      <w:r>
        <w:rPr>
          <w:lang w:val="en-GB"/>
        </w:rPr>
        <w:lastRenderedPageBreak/>
        <w:pict w14:anchorId="7A081670">
          <v:rect id="_x0000_i1027"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576C4D" w:rsidRDefault="003F060B" w:rsidP="004926AE">
      <w:pPr>
        <w:spacing w:before="120" w:after="120"/>
        <w:ind w:firstLine="284"/>
        <w:jc w:val="both"/>
        <w:rPr>
          <w:rFonts w:eastAsia="MS Mincho"/>
          <w:lang w:val="en-GB"/>
        </w:rPr>
      </w:pPr>
      <w:r w:rsidRPr="003F060B">
        <w:rPr>
          <w:rFonts w:eastAsia="MS Mincho"/>
          <w:lang w:val="en-GB"/>
        </w:rPr>
        <w:t>Based on the discussion above, we propose the following:</w:t>
      </w:r>
    </w:p>
    <w:p w14:paraId="316A35B3" w14:textId="77777777" w:rsidR="00F52929" w:rsidRDefault="00F52929" w:rsidP="00F52929">
      <w:pPr>
        <w:spacing w:before="120" w:after="120"/>
        <w:rPr>
          <w:b/>
        </w:rPr>
      </w:pPr>
      <w:r>
        <w:rPr>
          <w:b/>
          <w:bCs/>
        </w:rPr>
        <w:t>Observation 1</w:t>
      </w:r>
      <w:r>
        <w:rPr>
          <w:b/>
        </w:rPr>
        <w:t xml:space="preserve">: The IBE can as the SISO case be measured in the </w:t>
      </w:r>
      <w:r w:rsidRPr="00701C84">
        <w:rPr>
          <w:b/>
        </w:rPr>
        <w:t>“TX beam peak direction”</w:t>
      </w:r>
      <w:r>
        <w:rPr>
          <w:b/>
        </w:rPr>
        <w:t xml:space="preserve"> i.e. </w:t>
      </w:r>
      <w:r w:rsidRPr="00701C84">
        <w:rPr>
          <w:b/>
        </w:rPr>
        <w:t>is the “direction where the maximum total component of EIRP is found”</w:t>
      </w:r>
      <w:r>
        <w:rPr>
          <w:b/>
        </w:rPr>
        <w:t>.</w:t>
      </w:r>
    </w:p>
    <w:p w14:paraId="0BB06380" w14:textId="77777777" w:rsidR="00F52929" w:rsidRDefault="00F52929" w:rsidP="00F52929">
      <w:pPr>
        <w:spacing w:before="120" w:after="120"/>
        <w:rPr>
          <w:b/>
        </w:rPr>
      </w:pPr>
      <w:r>
        <w:rPr>
          <w:b/>
          <w:bCs/>
        </w:rPr>
        <w:t>Observation 2</w:t>
      </w:r>
      <w:r>
        <w:rPr>
          <w:b/>
        </w:rPr>
        <w:t>: Both the non-allocated RB and allocated RB should be measured as total component of EIRP.</w:t>
      </w:r>
    </w:p>
    <w:p w14:paraId="2F174BC9" w14:textId="5F7D5889" w:rsidR="00A83EF3" w:rsidRDefault="00A83EF3" w:rsidP="00A83EF3">
      <w:pPr>
        <w:spacing w:before="120" w:after="120"/>
        <w:rPr>
          <w:b/>
        </w:rPr>
      </w:pPr>
      <w:r>
        <w:rPr>
          <w:b/>
          <w:bCs/>
        </w:rPr>
        <w:t>Proposal 1</w:t>
      </w:r>
      <w:r>
        <w:rPr>
          <w:b/>
        </w:rPr>
        <w:t xml:space="preserve">: </w:t>
      </w:r>
      <w:r w:rsidR="0028756C">
        <w:rPr>
          <w:b/>
        </w:rPr>
        <w:t xml:space="preserve">The </w:t>
      </w:r>
      <w:r w:rsidR="0028756C" w:rsidRPr="0028756C">
        <w:rPr>
          <w:b/>
        </w:rPr>
        <w:t>section 6.4D.2 Transmit modulation quality for UL MIMO</w:t>
      </w:r>
      <w:r w:rsidR="0028756C">
        <w:rPr>
          <w:b/>
        </w:rPr>
        <w:t xml:space="preserve"> should be modified in the same manner as proposed in [3]</w:t>
      </w:r>
      <w:r>
        <w:rPr>
          <w:b/>
        </w:rPr>
        <w:t>.</w:t>
      </w:r>
    </w:p>
    <w:p w14:paraId="7A08165B" w14:textId="77777777" w:rsidR="00606242" w:rsidRPr="00576C4D" w:rsidRDefault="009E633F" w:rsidP="00606242">
      <w:pPr>
        <w:spacing w:before="120" w:after="120"/>
        <w:rPr>
          <w:lang w:val="en-GB"/>
        </w:rPr>
      </w:pPr>
      <w:r>
        <w:rPr>
          <w:lang w:val="en-GB"/>
        </w:rPr>
        <w:pict w14:anchorId="7A081671">
          <v:rect id="_x0000_i1028"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4824B49C" w14:textId="61780BB1" w:rsidR="00EB5948" w:rsidRPr="0028756C" w:rsidRDefault="00EB5948" w:rsidP="00EB5948">
      <w:pPr>
        <w:spacing w:before="120" w:after="120"/>
        <w:rPr>
          <w:rFonts w:eastAsia="MS Mincho"/>
          <w:lang w:val="en-GB"/>
        </w:rPr>
      </w:pPr>
      <w:bookmarkStart w:id="2" w:name="_Hlk83825984"/>
      <w:r w:rsidRPr="00576C4D">
        <w:rPr>
          <w:rFonts w:eastAsia="MS Mincho"/>
          <w:lang w:val="en-GB"/>
        </w:rPr>
        <w:t>[</w:t>
      </w:r>
      <w:r>
        <w:rPr>
          <w:rFonts w:eastAsia="MS Mincho"/>
          <w:lang w:val="en-GB"/>
        </w:rPr>
        <w:t>1</w:t>
      </w:r>
      <w:r w:rsidRPr="00576C4D">
        <w:rPr>
          <w:rFonts w:eastAsia="MS Mincho"/>
          <w:lang w:val="en-GB"/>
        </w:rPr>
        <w:t xml:space="preserve">] </w:t>
      </w:r>
      <w:r>
        <w:rPr>
          <w:rFonts w:eastAsia="MS Mincho"/>
          <w:lang w:val="en-GB"/>
        </w:rPr>
        <w:t>38-101-</w:t>
      </w:r>
      <w:r w:rsidR="009667AF">
        <w:rPr>
          <w:rFonts w:eastAsia="MS Mincho"/>
          <w:lang w:val="en-GB"/>
        </w:rPr>
        <w:t>2</w:t>
      </w:r>
      <w:r w:rsidRPr="00576C4D">
        <w:rPr>
          <w:rFonts w:eastAsia="MS Mincho"/>
          <w:lang w:val="en-GB"/>
        </w:rPr>
        <w:t>, “</w:t>
      </w:r>
      <w:r w:rsidRPr="006E67C1">
        <w:rPr>
          <w:rFonts w:eastAsia="MS Mincho"/>
          <w:lang w:val="en-GB"/>
        </w:rPr>
        <w:t xml:space="preserve">NR; User Equipment (UE) radio transmission and reception; Part </w:t>
      </w:r>
      <w:r w:rsidR="003940CA">
        <w:rPr>
          <w:rFonts w:eastAsia="MS Mincho"/>
          <w:lang w:val="en-GB"/>
        </w:rPr>
        <w:t>2</w:t>
      </w:r>
      <w:r w:rsidRPr="006E67C1">
        <w:rPr>
          <w:rFonts w:eastAsia="MS Mincho"/>
          <w:lang w:val="en-GB"/>
        </w:rPr>
        <w:t xml:space="preserve">: Range </w:t>
      </w:r>
      <w:r w:rsidR="009667AF">
        <w:rPr>
          <w:rFonts w:eastAsia="MS Mincho"/>
          <w:lang w:val="en-GB"/>
        </w:rPr>
        <w:t>2</w:t>
      </w:r>
      <w:r w:rsidRPr="006E67C1">
        <w:rPr>
          <w:rFonts w:eastAsia="MS Mincho"/>
          <w:lang w:val="en-GB"/>
        </w:rPr>
        <w:t xml:space="preserve"> Standalone</w:t>
      </w:r>
      <w:r w:rsidRPr="00576C4D">
        <w:rPr>
          <w:rFonts w:eastAsia="MS Mincho"/>
          <w:lang w:val="en-GB"/>
        </w:rPr>
        <w:t>”,</w:t>
      </w:r>
      <w:r>
        <w:rPr>
          <w:rFonts w:eastAsia="MS Mincho"/>
          <w:lang w:val="en-GB"/>
        </w:rPr>
        <w:t xml:space="preserve"> version </w:t>
      </w:r>
      <w:r w:rsidRPr="0028756C">
        <w:rPr>
          <w:rFonts w:eastAsia="MS Mincho"/>
          <w:lang w:val="en-GB"/>
        </w:rPr>
        <w:t>15.14.0</w:t>
      </w:r>
    </w:p>
    <w:p w14:paraId="72D43BFA" w14:textId="0E419174" w:rsidR="00C72C2B" w:rsidRPr="0028756C" w:rsidRDefault="00C72C2B" w:rsidP="00C72C2B">
      <w:pPr>
        <w:spacing w:before="120" w:after="120"/>
        <w:jc w:val="both"/>
        <w:rPr>
          <w:rFonts w:eastAsia="MS Mincho"/>
          <w:lang w:val="en-GB"/>
        </w:rPr>
      </w:pPr>
      <w:r w:rsidRPr="0028756C">
        <w:rPr>
          <w:rFonts w:eastAsia="MS Mincho"/>
          <w:lang w:val="en-GB"/>
        </w:rPr>
        <w:t>[</w:t>
      </w:r>
      <w:r w:rsidR="00EB5948" w:rsidRPr="0028756C">
        <w:rPr>
          <w:rFonts w:eastAsia="MS Mincho"/>
          <w:lang w:val="en-GB"/>
        </w:rPr>
        <w:t>2</w:t>
      </w:r>
      <w:r w:rsidRPr="0028756C">
        <w:rPr>
          <w:rFonts w:eastAsia="MS Mincho"/>
          <w:lang w:val="en-GB"/>
        </w:rPr>
        <w:t>]</w:t>
      </w:r>
      <w:r w:rsidRPr="0028756C">
        <w:rPr>
          <w:rFonts w:eastAsia="MS Mincho"/>
          <w:lang w:val="en-GB"/>
        </w:rPr>
        <w:tab/>
        <w:t>R4-211221</w:t>
      </w:r>
      <w:r w:rsidR="004F5C54" w:rsidRPr="0028756C">
        <w:rPr>
          <w:rFonts w:eastAsia="MS Mincho"/>
          <w:lang w:val="en-GB"/>
        </w:rPr>
        <w:t>9</w:t>
      </w:r>
      <w:r w:rsidRPr="0028756C">
        <w:rPr>
          <w:rFonts w:eastAsia="MS Mincho"/>
          <w:lang w:val="en-GB"/>
        </w:rPr>
        <w:t>, ‘</w:t>
      </w:r>
      <w:r w:rsidR="004F5C54" w:rsidRPr="0028756C">
        <w:rPr>
          <w:rFonts w:eastAsia="MS Mincho"/>
          <w:lang w:val="en-GB"/>
        </w:rPr>
        <w:t>Discussion on FR2 transmit signal quality for UL MIMO</w:t>
      </w:r>
      <w:r w:rsidRPr="0028756C">
        <w:rPr>
          <w:rFonts w:eastAsia="MS Mincho"/>
          <w:lang w:val="en-GB"/>
        </w:rPr>
        <w:t>’, Rohde &amp; Schwarz</w:t>
      </w:r>
      <w:r w:rsidR="00EB5948" w:rsidRPr="0028756C">
        <w:rPr>
          <w:rFonts w:eastAsia="MS Mincho"/>
          <w:lang w:val="en-GB"/>
        </w:rPr>
        <w:t>, RAN WG4 #100-e, August 2021</w:t>
      </w:r>
    </w:p>
    <w:p w14:paraId="702A48CB" w14:textId="1C5ECA51" w:rsidR="00810D1D" w:rsidRPr="00BF692A" w:rsidRDefault="00C72C2B" w:rsidP="00BF692A">
      <w:pPr>
        <w:spacing w:before="120" w:after="120"/>
        <w:jc w:val="both"/>
        <w:rPr>
          <w:rFonts w:eastAsia="MS Mincho"/>
          <w:lang w:val="en-GB"/>
        </w:rPr>
      </w:pPr>
      <w:r w:rsidRPr="0028756C">
        <w:rPr>
          <w:rFonts w:eastAsia="MS Mincho"/>
          <w:lang w:val="en-GB"/>
        </w:rPr>
        <w:t>[</w:t>
      </w:r>
      <w:r w:rsidR="00EB5948" w:rsidRPr="0028756C">
        <w:rPr>
          <w:rFonts w:eastAsia="MS Mincho"/>
          <w:lang w:val="en-GB"/>
        </w:rPr>
        <w:t>3</w:t>
      </w:r>
      <w:r w:rsidRPr="0028756C">
        <w:rPr>
          <w:rFonts w:eastAsia="MS Mincho"/>
          <w:lang w:val="en-GB"/>
        </w:rPr>
        <w:t xml:space="preserve">] </w:t>
      </w:r>
      <w:r w:rsidR="000F3E7E" w:rsidRPr="0028756C">
        <w:rPr>
          <w:rFonts w:eastAsia="MS Mincho"/>
          <w:lang w:val="en-GB"/>
        </w:rPr>
        <w:t>R4-2114892</w:t>
      </w:r>
      <w:r w:rsidRPr="0028756C">
        <w:rPr>
          <w:rFonts w:eastAsia="MS Mincho"/>
          <w:lang w:val="en-GB"/>
        </w:rPr>
        <w:t>, ‘</w:t>
      </w:r>
      <w:r w:rsidR="000F3E7E" w:rsidRPr="0028756C">
        <w:rPr>
          <w:rFonts w:eastAsia="MS Mincho"/>
          <w:lang w:val="en-GB"/>
        </w:rPr>
        <w:t>Update of FR2 UL MIMO transmit signal quality requirements</w:t>
      </w:r>
      <w:r w:rsidRPr="0028756C">
        <w:rPr>
          <w:rFonts w:eastAsia="MS Mincho"/>
          <w:lang w:val="en-GB"/>
        </w:rPr>
        <w:t>’</w:t>
      </w:r>
      <w:r w:rsidR="00A15B16" w:rsidRPr="0028756C">
        <w:rPr>
          <w:rFonts w:eastAsia="MS Mincho"/>
          <w:lang w:val="en-GB"/>
        </w:rPr>
        <w:t xml:space="preserve"> </w:t>
      </w:r>
      <w:proofErr w:type="spellStart"/>
      <w:r w:rsidR="00A15B16" w:rsidRPr="0028756C">
        <w:rPr>
          <w:rFonts w:eastAsia="MS Mincho"/>
          <w:lang w:val="en-GB"/>
        </w:rPr>
        <w:t>dCR</w:t>
      </w:r>
      <w:proofErr w:type="spellEnd"/>
      <w:r w:rsidRPr="0028756C">
        <w:rPr>
          <w:rFonts w:eastAsia="MS Mincho"/>
          <w:lang w:val="en-GB"/>
        </w:rPr>
        <w:t>, Rohde &amp; Schwarz</w:t>
      </w:r>
      <w:bookmarkStart w:id="3" w:name="_Hlk84601093"/>
      <w:r w:rsidRPr="0028756C">
        <w:rPr>
          <w:rFonts w:eastAsia="MS Mincho"/>
          <w:lang w:val="en-GB"/>
        </w:rPr>
        <w:t>, RAN WG4 #</w:t>
      </w:r>
      <w:r w:rsidR="000F3E7E" w:rsidRPr="0028756C">
        <w:rPr>
          <w:rFonts w:eastAsia="MS Mincho"/>
          <w:lang w:val="en-GB"/>
        </w:rPr>
        <w:t>100-e</w:t>
      </w:r>
      <w:r w:rsidRPr="0028756C">
        <w:rPr>
          <w:rFonts w:eastAsia="MS Mincho"/>
          <w:lang w:val="en-GB"/>
        </w:rPr>
        <w:t xml:space="preserve">, </w:t>
      </w:r>
      <w:r w:rsidR="000F3E7E" w:rsidRPr="0028756C">
        <w:rPr>
          <w:rFonts w:eastAsia="MS Mincho"/>
          <w:lang w:val="en-GB"/>
        </w:rPr>
        <w:t>August</w:t>
      </w:r>
      <w:r w:rsidRPr="0028756C">
        <w:rPr>
          <w:rFonts w:eastAsia="MS Mincho"/>
          <w:lang w:val="en-GB"/>
        </w:rPr>
        <w:t xml:space="preserve"> 20</w:t>
      </w:r>
      <w:r w:rsidR="000F3E7E" w:rsidRPr="0028756C">
        <w:rPr>
          <w:rFonts w:eastAsia="MS Mincho"/>
          <w:lang w:val="en-GB"/>
        </w:rPr>
        <w:t>21</w:t>
      </w:r>
      <w:bookmarkEnd w:id="2"/>
      <w:bookmarkEnd w:id="3"/>
    </w:p>
    <w:sectPr w:rsidR="00810D1D" w:rsidRPr="00BF692A">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D2D86" w14:textId="77777777" w:rsidR="000747CC" w:rsidRDefault="000747CC" w:rsidP="00920DEF">
      <w:pPr>
        <w:spacing w:before="120" w:after="120"/>
      </w:pPr>
      <w:r>
        <w:separator/>
      </w:r>
    </w:p>
  </w:endnote>
  <w:endnote w:type="continuationSeparator" w:id="0">
    <w:p w14:paraId="4DB21AF8" w14:textId="77777777" w:rsidR="000747CC" w:rsidRDefault="000747C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E34E4" w14:textId="77777777" w:rsidR="000747CC" w:rsidRDefault="000747CC" w:rsidP="00675E3F">
      <w:pPr>
        <w:spacing w:before="120" w:after="120"/>
      </w:pPr>
      <w:r>
        <w:separator/>
      </w:r>
    </w:p>
  </w:footnote>
  <w:footnote w:type="continuationSeparator" w:id="0">
    <w:p w14:paraId="1A999AB3" w14:textId="77777777" w:rsidR="000747CC" w:rsidRDefault="000747CC"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5BF3AC6"/>
    <w:multiLevelType w:val="hybridMultilevel"/>
    <w:tmpl w:val="0CCAF50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835C67"/>
    <w:multiLevelType w:val="hybridMultilevel"/>
    <w:tmpl w:val="9AE0299A"/>
    <w:lvl w:ilvl="0" w:tplc="40123E82">
      <w:start w:val="1"/>
      <w:numFmt w:val="decimal"/>
      <w:lvlText w:val="%1."/>
      <w:lvlJc w:val="left"/>
      <w:pPr>
        <w:ind w:left="720" w:hanging="360"/>
      </w:pPr>
      <w:rPr>
        <w:rFonts w:ascii="Arial" w:hAnsi="Arial" w:cs="Times New Roman" w:hint="default"/>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8"/>
  </w:num>
  <w:num w:numId="6">
    <w:abstractNumId w:val="2"/>
  </w:num>
  <w:num w:numId="7">
    <w:abstractNumId w:val="12"/>
  </w:num>
  <w:num w:numId="8">
    <w:abstractNumId w:val="18"/>
  </w:num>
  <w:num w:numId="9">
    <w:abstractNumId w:val="9"/>
  </w:num>
  <w:num w:numId="10">
    <w:abstractNumId w:val="13"/>
  </w:num>
  <w:num w:numId="11">
    <w:abstractNumId w:val="23"/>
  </w:num>
  <w:num w:numId="12">
    <w:abstractNumId w:val="21"/>
  </w:num>
  <w:num w:numId="13">
    <w:abstractNumId w:val="5"/>
  </w:num>
  <w:num w:numId="14">
    <w:abstractNumId w:val="6"/>
  </w:num>
  <w:num w:numId="15">
    <w:abstractNumId w:val="1"/>
  </w:num>
  <w:num w:numId="16">
    <w:abstractNumId w:val="7"/>
  </w:num>
  <w:num w:numId="17">
    <w:abstractNumId w:val="10"/>
  </w:num>
  <w:num w:numId="18">
    <w:abstractNumId w:val="11"/>
  </w:num>
  <w:num w:numId="19">
    <w:abstractNumId w:val="4"/>
  </w:num>
  <w:num w:numId="20">
    <w:abstractNumId w:val="22"/>
  </w:num>
  <w:num w:numId="21">
    <w:abstractNumId w:val="19"/>
  </w:num>
  <w:num w:numId="22">
    <w:abstractNumId w:val="14"/>
  </w:num>
  <w:num w:numId="23">
    <w:abstractNumId w:val="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8F5"/>
    <w:rsid w:val="00016D9E"/>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A"/>
    <w:rsid w:val="000252A8"/>
    <w:rsid w:val="00025316"/>
    <w:rsid w:val="00025B63"/>
    <w:rsid w:val="00027172"/>
    <w:rsid w:val="00027A2E"/>
    <w:rsid w:val="00027BDF"/>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66BF"/>
    <w:rsid w:val="0006671D"/>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7CC"/>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AB4"/>
    <w:rsid w:val="00087BF6"/>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AE6"/>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E7E"/>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0758C"/>
    <w:rsid w:val="0010767C"/>
    <w:rsid w:val="00110542"/>
    <w:rsid w:val="001109ED"/>
    <w:rsid w:val="00110B99"/>
    <w:rsid w:val="00110DC3"/>
    <w:rsid w:val="0011107B"/>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D78"/>
    <w:rsid w:val="0011779C"/>
    <w:rsid w:val="00117967"/>
    <w:rsid w:val="00117AE7"/>
    <w:rsid w:val="00120867"/>
    <w:rsid w:val="001209CA"/>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F3A"/>
    <w:rsid w:val="001315A4"/>
    <w:rsid w:val="00131B6F"/>
    <w:rsid w:val="00131C05"/>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67F"/>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64C3"/>
    <w:rsid w:val="001B6628"/>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AFC"/>
    <w:rsid w:val="001D7C59"/>
    <w:rsid w:val="001D7E26"/>
    <w:rsid w:val="001D7E62"/>
    <w:rsid w:val="001E02E1"/>
    <w:rsid w:val="001E0607"/>
    <w:rsid w:val="001E0684"/>
    <w:rsid w:val="001E0C7F"/>
    <w:rsid w:val="001E1069"/>
    <w:rsid w:val="001E11BA"/>
    <w:rsid w:val="001E1821"/>
    <w:rsid w:val="001E186C"/>
    <w:rsid w:val="001E1A64"/>
    <w:rsid w:val="001E1AE2"/>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945"/>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676C0"/>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56C"/>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2458"/>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0CD"/>
    <w:rsid w:val="002B22C4"/>
    <w:rsid w:val="002B265B"/>
    <w:rsid w:val="002B2AB8"/>
    <w:rsid w:val="002B32D6"/>
    <w:rsid w:val="002B3B4A"/>
    <w:rsid w:val="002B4A6A"/>
    <w:rsid w:val="002B514C"/>
    <w:rsid w:val="002B5AEE"/>
    <w:rsid w:val="002B5FE7"/>
    <w:rsid w:val="002B698A"/>
    <w:rsid w:val="002B6A97"/>
    <w:rsid w:val="002B702B"/>
    <w:rsid w:val="002B7140"/>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1E69"/>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A66"/>
    <w:rsid w:val="00301AEC"/>
    <w:rsid w:val="0030220F"/>
    <w:rsid w:val="003028D1"/>
    <w:rsid w:val="00302E45"/>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705"/>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300"/>
    <w:rsid w:val="00345327"/>
    <w:rsid w:val="003453D2"/>
    <w:rsid w:val="003453F1"/>
    <w:rsid w:val="00345B70"/>
    <w:rsid w:val="00345C2D"/>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A3"/>
    <w:rsid w:val="00385C20"/>
    <w:rsid w:val="00385DD6"/>
    <w:rsid w:val="00386FB2"/>
    <w:rsid w:val="00387041"/>
    <w:rsid w:val="00387592"/>
    <w:rsid w:val="00387D26"/>
    <w:rsid w:val="00387EB4"/>
    <w:rsid w:val="003901DE"/>
    <w:rsid w:val="003903DC"/>
    <w:rsid w:val="00391652"/>
    <w:rsid w:val="0039197A"/>
    <w:rsid w:val="00391DFF"/>
    <w:rsid w:val="00391E24"/>
    <w:rsid w:val="00392536"/>
    <w:rsid w:val="0039293C"/>
    <w:rsid w:val="00392B39"/>
    <w:rsid w:val="00393BEA"/>
    <w:rsid w:val="00393C5E"/>
    <w:rsid w:val="00393C8D"/>
    <w:rsid w:val="00393E1B"/>
    <w:rsid w:val="003940CA"/>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68E"/>
    <w:rsid w:val="003D078B"/>
    <w:rsid w:val="003D0930"/>
    <w:rsid w:val="003D0BDB"/>
    <w:rsid w:val="003D1145"/>
    <w:rsid w:val="003D114B"/>
    <w:rsid w:val="003D1282"/>
    <w:rsid w:val="003D1309"/>
    <w:rsid w:val="003D15D0"/>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946"/>
    <w:rsid w:val="00432C61"/>
    <w:rsid w:val="0043307A"/>
    <w:rsid w:val="0043346D"/>
    <w:rsid w:val="00433503"/>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8EB"/>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89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A13"/>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5C54"/>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F5"/>
    <w:rsid w:val="00524C45"/>
    <w:rsid w:val="00524C62"/>
    <w:rsid w:val="00525060"/>
    <w:rsid w:val="00525106"/>
    <w:rsid w:val="005252CC"/>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503C"/>
    <w:rsid w:val="00535156"/>
    <w:rsid w:val="00536977"/>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6A4"/>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E6B"/>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8F2"/>
    <w:rsid w:val="00592E23"/>
    <w:rsid w:val="0059336E"/>
    <w:rsid w:val="005937F2"/>
    <w:rsid w:val="00593A30"/>
    <w:rsid w:val="00593AF1"/>
    <w:rsid w:val="00593CD2"/>
    <w:rsid w:val="00594223"/>
    <w:rsid w:val="005948E6"/>
    <w:rsid w:val="005949EC"/>
    <w:rsid w:val="00594D23"/>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6DE"/>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EA2"/>
    <w:rsid w:val="005E6828"/>
    <w:rsid w:val="005E73F0"/>
    <w:rsid w:val="005E74A9"/>
    <w:rsid w:val="005E75AB"/>
    <w:rsid w:val="005E7BEA"/>
    <w:rsid w:val="005F0443"/>
    <w:rsid w:val="005F1036"/>
    <w:rsid w:val="005F181B"/>
    <w:rsid w:val="005F1B55"/>
    <w:rsid w:val="005F1D31"/>
    <w:rsid w:val="005F26A2"/>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D5F"/>
    <w:rsid w:val="00611DDB"/>
    <w:rsid w:val="0061248A"/>
    <w:rsid w:val="00612741"/>
    <w:rsid w:val="006128D2"/>
    <w:rsid w:val="00612EC6"/>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67B2"/>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898"/>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1C84"/>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5EF1"/>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70"/>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787D"/>
    <w:rsid w:val="00727A11"/>
    <w:rsid w:val="00727A90"/>
    <w:rsid w:val="00727D57"/>
    <w:rsid w:val="00727F29"/>
    <w:rsid w:val="00730076"/>
    <w:rsid w:val="007307B8"/>
    <w:rsid w:val="0073097C"/>
    <w:rsid w:val="007314E5"/>
    <w:rsid w:val="0073156F"/>
    <w:rsid w:val="007315FF"/>
    <w:rsid w:val="00731608"/>
    <w:rsid w:val="0073196F"/>
    <w:rsid w:val="0073212A"/>
    <w:rsid w:val="007325EB"/>
    <w:rsid w:val="00732A5E"/>
    <w:rsid w:val="00732EC1"/>
    <w:rsid w:val="00732F6E"/>
    <w:rsid w:val="0073302B"/>
    <w:rsid w:val="0073316E"/>
    <w:rsid w:val="007331DF"/>
    <w:rsid w:val="00733CE9"/>
    <w:rsid w:val="007342B5"/>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A70"/>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5E9D"/>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CED"/>
    <w:rsid w:val="007E6F7B"/>
    <w:rsid w:val="007E719F"/>
    <w:rsid w:val="007E74EF"/>
    <w:rsid w:val="007E7A05"/>
    <w:rsid w:val="007E7AF7"/>
    <w:rsid w:val="007E7E49"/>
    <w:rsid w:val="007F0559"/>
    <w:rsid w:val="007F0669"/>
    <w:rsid w:val="007F13D3"/>
    <w:rsid w:val="007F14B1"/>
    <w:rsid w:val="007F1D5A"/>
    <w:rsid w:val="007F252F"/>
    <w:rsid w:val="007F26CE"/>
    <w:rsid w:val="007F2A16"/>
    <w:rsid w:val="007F2BCD"/>
    <w:rsid w:val="007F3327"/>
    <w:rsid w:val="007F3A2E"/>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3C3"/>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BE6"/>
    <w:rsid w:val="00813CA9"/>
    <w:rsid w:val="00813F85"/>
    <w:rsid w:val="00813F87"/>
    <w:rsid w:val="00814020"/>
    <w:rsid w:val="0081402B"/>
    <w:rsid w:val="008142F8"/>
    <w:rsid w:val="0081462D"/>
    <w:rsid w:val="00814B08"/>
    <w:rsid w:val="00814D0C"/>
    <w:rsid w:val="00814EA5"/>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610"/>
    <w:rsid w:val="008258AF"/>
    <w:rsid w:val="00826444"/>
    <w:rsid w:val="00827161"/>
    <w:rsid w:val="00827A1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5F41"/>
    <w:rsid w:val="008B618D"/>
    <w:rsid w:val="008B6288"/>
    <w:rsid w:val="008B635D"/>
    <w:rsid w:val="008B6410"/>
    <w:rsid w:val="008B677F"/>
    <w:rsid w:val="008B67ED"/>
    <w:rsid w:val="008B6D34"/>
    <w:rsid w:val="008B72B1"/>
    <w:rsid w:val="008B76E3"/>
    <w:rsid w:val="008B7C1F"/>
    <w:rsid w:val="008B7D92"/>
    <w:rsid w:val="008B7D97"/>
    <w:rsid w:val="008C0210"/>
    <w:rsid w:val="008C041D"/>
    <w:rsid w:val="008C0894"/>
    <w:rsid w:val="008C0B59"/>
    <w:rsid w:val="008C1197"/>
    <w:rsid w:val="008C13E0"/>
    <w:rsid w:val="008C2769"/>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536A"/>
    <w:rsid w:val="008D55C0"/>
    <w:rsid w:val="008D5DBD"/>
    <w:rsid w:val="008D6003"/>
    <w:rsid w:val="008D60C8"/>
    <w:rsid w:val="008D61DE"/>
    <w:rsid w:val="008D6BA9"/>
    <w:rsid w:val="008D6BB0"/>
    <w:rsid w:val="008D6E6F"/>
    <w:rsid w:val="008D7B62"/>
    <w:rsid w:val="008D7C64"/>
    <w:rsid w:val="008E00FC"/>
    <w:rsid w:val="008E1B62"/>
    <w:rsid w:val="008E2D73"/>
    <w:rsid w:val="008E2D80"/>
    <w:rsid w:val="008E3195"/>
    <w:rsid w:val="008E330B"/>
    <w:rsid w:val="008E3CBA"/>
    <w:rsid w:val="008E4074"/>
    <w:rsid w:val="008E473A"/>
    <w:rsid w:val="008E5344"/>
    <w:rsid w:val="008E55D1"/>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6BD"/>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75A"/>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4DD1"/>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AD3"/>
    <w:rsid w:val="00965D6B"/>
    <w:rsid w:val="00965E24"/>
    <w:rsid w:val="00965ECB"/>
    <w:rsid w:val="009667AF"/>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36D"/>
    <w:rsid w:val="0097482F"/>
    <w:rsid w:val="009750BA"/>
    <w:rsid w:val="0097573F"/>
    <w:rsid w:val="00976012"/>
    <w:rsid w:val="0097644E"/>
    <w:rsid w:val="009773C1"/>
    <w:rsid w:val="009777B5"/>
    <w:rsid w:val="009779C3"/>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0FF"/>
    <w:rsid w:val="00995434"/>
    <w:rsid w:val="00996476"/>
    <w:rsid w:val="00996533"/>
    <w:rsid w:val="00996A3F"/>
    <w:rsid w:val="0099712A"/>
    <w:rsid w:val="009973E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A1B"/>
    <w:rsid w:val="009E5B08"/>
    <w:rsid w:val="009E61C1"/>
    <w:rsid w:val="009E633F"/>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A0D"/>
    <w:rsid w:val="00A05084"/>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B16"/>
    <w:rsid w:val="00A15D36"/>
    <w:rsid w:val="00A16476"/>
    <w:rsid w:val="00A16E40"/>
    <w:rsid w:val="00A17093"/>
    <w:rsid w:val="00A17207"/>
    <w:rsid w:val="00A173E5"/>
    <w:rsid w:val="00A17FCA"/>
    <w:rsid w:val="00A20B5F"/>
    <w:rsid w:val="00A215E5"/>
    <w:rsid w:val="00A21FFC"/>
    <w:rsid w:val="00A22037"/>
    <w:rsid w:val="00A23862"/>
    <w:rsid w:val="00A23CF3"/>
    <w:rsid w:val="00A2445C"/>
    <w:rsid w:val="00A245B4"/>
    <w:rsid w:val="00A2540D"/>
    <w:rsid w:val="00A25952"/>
    <w:rsid w:val="00A26183"/>
    <w:rsid w:val="00A262D4"/>
    <w:rsid w:val="00A26833"/>
    <w:rsid w:val="00A26864"/>
    <w:rsid w:val="00A26882"/>
    <w:rsid w:val="00A26A71"/>
    <w:rsid w:val="00A272B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F6D"/>
    <w:rsid w:val="00A6105F"/>
    <w:rsid w:val="00A611DF"/>
    <w:rsid w:val="00A61360"/>
    <w:rsid w:val="00A61373"/>
    <w:rsid w:val="00A613CB"/>
    <w:rsid w:val="00A617D6"/>
    <w:rsid w:val="00A61878"/>
    <w:rsid w:val="00A618C4"/>
    <w:rsid w:val="00A61BE6"/>
    <w:rsid w:val="00A61D35"/>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F0F"/>
    <w:rsid w:val="00A745C8"/>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477"/>
    <w:rsid w:val="00AB3571"/>
    <w:rsid w:val="00AB397C"/>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E5C"/>
    <w:rsid w:val="00AE037F"/>
    <w:rsid w:val="00AE1B94"/>
    <w:rsid w:val="00AE1DDF"/>
    <w:rsid w:val="00AE21C9"/>
    <w:rsid w:val="00AE2258"/>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2085F"/>
    <w:rsid w:val="00B20B09"/>
    <w:rsid w:val="00B20CF1"/>
    <w:rsid w:val="00B20CFA"/>
    <w:rsid w:val="00B20DB5"/>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22D"/>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81"/>
    <w:rsid w:val="00B9428B"/>
    <w:rsid w:val="00B94621"/>
    <w:rsid w:val="00B94883"/>
    <w:rsid w:val="00B94BEF"/>
    <w:rsid w:val="00B9513A"/>
    <w:rsid w:val="00B9524C"/>
    <w:rsid w:val="00B954EE"/>
    <w:rsid w:val="00B9575B"/>
    <w:rsid w:val="00B958B6"/>
    <w:rsid w:val="00B95CEE"/>
    <w:rsid w:val="00B96B85"/>
    <w:rsid w:val="00B97219"/>
    <w:rsid w:val="00B97380"/>
    <w:rsid w:val="00B9755C"/>
    <w:rsid w:val="00BA0042"/>
    <w:rsid w:val="00BA0070"/>
    <w:rsid w:val="00BA04B1"/>
    <w:rsid w:val="00BA069B"/>
    <w:rsid w:val="00BA06C5"/>
    <w:rsid w:val="00BA103E"/>
    <w:rsid w:val="00BA1184"/>
    <w:rsid w:val="00BA2620"/>
    <w:rsid w:val="00BA40BA"/>
    <w:rsid w:val="00BA431C"/>
    <w:rsid w:val="00BA47F2"/>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92A"/>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D4"/>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60E"/>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69F"/>
    <w:rsid w:val="00C35A30"/>
    <w:rsid w:val="00C35C7A"/>
    <w:rsid w:val="00C3668A"/>
    <w:rsid w:val="00C36AA4"/>
    <w:rsid w:val="00C370DD"/>
    <w:rsid w:val="00C37200"/>
    <w:rsid w:val="00C401CC"/>
    <w:rsid w:val="00C40A20"/>
    <w:rsid w:val="00C40EE4"/>
    <w:rsid w:val="00C40F25"/>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9A4"/>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C2B"/>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1CE"/>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634D"/>
    <w:rsid w:val="00CE6FF0"/>
    <w:rsid w:val="00CE7B59"/>
    <w:rsid w:val="00CE7D6C"/>
    <w:rsid w:val="00CE7E3E"/>
    <w:rsid w:val="00CE7F0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57A2"/>
    <w:rsid w:val="00D06340"/>
    <w:rsid w:val="00D06B3A"/>
    <w:rsid w:val="00D0708C"/>
    <w:rsid w:val="00D07574"/>
    <w:rsid w:val="00D07866"/>
    <w:rsid w:val="00D07935"/>
    <w:rsid w:val="00D10E20"/>
    <w:rsid w:val="00D1122B"/>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61A"/>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44DF"/>
    <w:rsid w:val="00D84B68"/>
    <w:rsid w:val="00D84CC1"/>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16C"/>
    <w:rsid w:val="00DC2875"/>
    <w:rsid w:val="00DC2F21"/>
    <w:rsid w:val="00DC329D"/>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0DD"/>
    <w:rsid w:val="00DC6338"/>
    <w:rsid w:val="00DC679B"/>
    <w:rsid w:val="00DC684F"/>
    <w:rsid w:val="00DC706B"/>
    <w:rsid w:val="00DC75D5"/>
    <w:rsid w:val="00DC7638"/>
    <w:rsid w:val="00DC78E2"/>
    <w:rsid w:val="00DC7908"/>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5C9C"/>
    <w:rsid w:val="00DF60F8"/>
    <w:rsid w:val="00DF633F"/>
    <w:rsid w:val="00DF69D2"/>
    <w:rsid w:val="00DF6A0C"/>
    <w:rsid w:val="00DF78D6"/>
    <w:rsid w:val="00DF7AE7"/>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31F8"/>
    <w:rsid w:val="00E53E6D"/>
    <w:rsid w:val="00E53F72"/>
    <w:rsid w:val="00E54BFF"/>
    <w:rsid w:val="00E55243"/>
    <w:rsid w:val="00E5582D"/>
    <w:rsid w:val="00E558E6"/>
    <w:rsid w:val="00E55968"/>
    <w:rsid w:val="00E55B6D"/>
    <w:rsid w:val="00E55E28"/>
    <w:rsid w:val="00E565C6"/>
    <w:rsid w:val="00E569B6"/>
    <w:rsid w:val="00E56B2B"/>
    <w:rsid w:val="00E56B62"/>
    <w:rsid w:val="00E579F4"/>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3"/>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A1A"/>
    <w:rsid w:val="00E90EAF"/>
    <w:rsid w:val="00E90FE2"/>
    <w:rsid w:val="00E91C87"/>
    <w:rsid w:val="00E920B4"/>
    <w:rsid w:val="00E92550"/>
    <w:rsid w:val="00E93500"/>
    <w:rsid w:val="00E93890"/>
    <w:rsid w:val="00E938AD"/>
    <w:rsid w:val="00E93EA8"/>
    <w:rsid w:val="00E9448F"/>
    <w:rsid w:val="00E9458A"/>
    <w:rsid w:val="00E94803"/>
    <w:rsid w:val="00E94BB9"/>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5948"/>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819"/>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970"/>
    <w:rsid w:val="00EF4C19"/>
    <w:rsid w:val="00EF567C"/>
    <w:rsid w:val="00EF5967"/>
    <w:rsid w:val="00EF5B50"/>
    <w:rsid w:val="00EF5CE0"/>
    <w:rsid w:val="00EF5FB7"/>
    <w:rsid w:val="00EF6386"/>
    <w:rsid w:val="00EF6584"/>
    <w:rsid w:val="00EF77A3"/>
    <w:rsid w:val="00EF78CB"/>
    <w:rsid w:val="00EF7A7F"/>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2929"/>
    <w:rsid w:val="00F53136"/>
    <w:rsid w:val="00F535F2"/>
    <w:rsid w:val="00F538F6"/>
    <w:rsid w:val="00F53D4A"/>
    <w:rsid w:val="00F5404A"/>
    <w:rsid w:val="00F5428E"/>
    <w:rsid w:val="00F55142"/>
    <w:rsid w:val="00F554FA"/>
    <w:rsid w:val="00F55CAF"/>
    <w:rsid w:val="00F5607C"/>
    <w:rsid w:val="00F5615E"/>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893"/>
    <w:rsid w:val="00F93B5A"/>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5F6D"/>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0E5"/>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4DCF"/>
    <w:rsid w:val="00FC531A"/>
    <w:rsid w:val="00FC6477"/>
    <w:rsid w:val="00FC694D"/>
    <w:rsid w:val="00FC6C65"/>
    <w:rsid w:val="00FC6EA3"/>
    <w:rsid w:val="00FC7093"/>
    <w:rsid w:val="00FC7109"/>
    <w:rsid w:val="00FC76D8"/>
    <w:rsid w:val="00FC7CF3"/>
    <w:rsid w:val="00FD04D6"/>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D0"/>
    <w:rsid w:val="00FE3B99"/>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24530508">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72137740">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C9E20-CF03-4FCF-9667-7BA2C83F09FD}">
  <ds:schemaRefs>
    <ds:schemaRef ds:uri="http://purl.org/dc/dcmitype/"/>
    <ds:schemaRef ds:uri="http://purl.org/dc/elements/1.1/"/>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dba7ae79-5de7-490c-aa90-c6b8685167cf"/>
  </ds:schemaRefs>
</ds:datastoreItem>
</file>

<file path=customXml/itemProps3.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4.xml><?xml version="1.0" encoding="utf-8"?>
<ds:datastoreItem xmlns:ds="http://schemas.openxmlformats.org/officeDocument/2006/customXml" ds:itemID="{575D6A51-C610-4316-9F74-E538BED4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Pages>
  <Words>656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13</cp:revision>
  <cp:lastPrinted>2007-04-23T23:59:00Z</cp:lastPrinted>
  <dcterms:created xsi:type="dcterms:W3CDTF">2021-10-11T15:56:00Z</dcterms:created>
  <dcterms:modified xsi:type="dcterms:W3CDTF">2021-10-22T11:55:00Z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